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r>
        <w:rPr>
          <w:rFonts w:hint="eastAsia"/>
          <w:b/>
          <w:sz w:val="44"/>
          <w:szCs w:val="44"/>
        </w:rPr>
        <w:t>学银在线学习指南</w:t>
      </w:r>
    </w:p>
    <w:p>
      <w:pPr>
        <w:spacing w:line="560" w:lineRule="exact"/>
        <w:ind w:firstLine="643" w:firstLineChars="200"/>
        <w:jc w:val="center"/>
        <w:rPr>
          <w:rFonts w:ascii="黑体" w:hAnsi="黑体" w:eastAsia="黑体"/>
          <w:b/>
          <w:bCs/>
          <w:color w:val="FF0000"/>
          <w:sz w:val="32"/>
          <w:szCs w:val="32"/>
        </w:rPr>
      </w:pPr>
    </w:p>
    <w:p>
      <w:pPr>
        <w:spacing w:line="560" w:lineRule="exact"/>
        <w:ind w:firstLine="640" w:firstLineChars="200"/>
        <w:jc w:val="left"/>
        <w:rPr>
          <w:rFonts w:ascii="黑体" w:hAnsi="黑体" w:eastAsia="黑体"/>
          <w:color w:val="FF0000"/>
          <w:sz w:val="32"/>
          <w:szCs w:val="32"/>
        </w:rPr>
      </w:pPr>
      <w:r>
        <w:rPr>
          <w:rFonts w:hint="eastAsia" w:ascii="黑体" w:hAnsi="黑体" w:eastAsia="黑体"/>
          <w:color w:val="FF0000"/>
          <w:sz w:val="32"/>
          <w:szCs w:val="32"/>
          <w:highlight w:val="yellow"/>
        </w:rPr>
        <w:t>注意：</w:t>
      </w:r>
    </w:p>
    <w:p>
      <w:pPr>
        <w:spacing w:line="560" w:lineRule="exact"/>
        <w:ind w:firstLine="640" w:firstLineChars="200"/>
        <w:jc w:val="left"/>
        <w:rPr>
          <w:rFonts w:ascii="黑体" w:hAnsi="黑体" w:eastAsia="黑体"/>
          <w:color w:val="FF0000"/>
          <w:sz w:val="32"/>
          <w:szCs w:val="32"/>
        </w:rPr>
      </w:pPr>
      <w:r>
        <w:rPr>
          <w:rFonts w:hint="eastAsia" w:ascii="黑体" w:hAnsi="黑体" w:eastAsia="黑体"/>
          <w:color w:val="FF0000"/>
          <w:sz w:val="32"/>
          <w:szCs w:val="32"/>
        </w:rPr>
        <w:t>网络重修课程在线自主学习</w:t>
      </w:r>
      <w:r>
        <w:rPr>
          <w:rFonts w:hint="eastAsia" w:ascii="黑体" w:hAnsi="黑体" w:eastAsia="黑体"/>
          <w:color w:val="FF0000"/>
          <w:sz w:val="32"/>
          <w:szCs w:val="32"/>
          <w:lang w:val="en-US" w:eastAsia="zh-CN"/>
        </w:rPr>
        <w:t>和线上考试</w:t>
      </w:r>
      <w:r>
        <w:rPr>
          <w:rFonts w:hint="eastAsia" w:ascii="黑体" w:hAnsi="黑体" w:eastAsia="黑体"/>
          <w:color w:val="FF0000"/>
          <w:sz w:val="32"/>
          <w:szCs w:val="32"/>
        </w:rPr>
        <w:t>时间：202</w:t>
      </w:r>
      <w:r>
        <w:rPr>
          <w:rFonts w:hint="eastAsia" w:ascii="黑体" w:hAnsi="黑体" w:eastAsia="黑体"/>
          <w:color w:val="FF0000"/>
          <w:sz w:val="32"/>
          <w:szCs w:val="32"/>
          <w:lang w:val="en-US" w:eastAsia="zh-CN"/>
        </w:rPr>
        <w:t>5</w:t>
      </w:r>
      <w:r>
        <w:rPr>
          <w:rFonts w:hint="eastAsia" w:ascii="黑体" w:hAnsi="黑体" w:eastAsia="黑体"/>
          <w:color w:val="FF0000"/>
          <w:sz w:val="32"/>
          <w:szCs w:val="32"/>
        </w:rPr>
        <w:t>年</w:t>
      </w:r>
      <w:r>
        <w:rPr>
          <w:rFonts w:hint="eastAsia" w:ascii="黑体" w:hAnsi="黑体" w:eastAsia="黑体"/>
          <w:color w:val="FF0000"/>
          <w:sz w:val="32"/>
          <w:szCs w:val="32"/>
          <w:lang w:val="en-US" w:eastAsia="zh-CN"/>
        </w:rPr>
        <w:t>5</w:t>
      </w:r>
      <w:r>
        <w:rPr>
          <w:rFonts w:hint="eastAsia" w:ascii="黑体" w:hAnsi="黑体" w:eastAsia="黑体"/>
          <w:color w:val="FF0000"/>
          <w:sz w:val="32"/>
          <w:szCs w:val="32"/>
        </w:rPr>
        <w:t>月</w:t>
      </w:r>
      <w:r>
        <w:rPr>
          <w:rFonts w:hint="eastAsia" w:ascii="黑体" w:hAnsi="黑体" w:eastAsia="黑体"/>
          <w:color w:val="FF0000"/>
          <w:sz w:val="32"/>
          <w:szCs w:val="32"/>
          <w:lang w:val="en-US" w:eastAsia="zh-CN"/>
        </w:rPr>
        <w:t>13</w:t>
      </w:r>
      <w:r>
        <w:rPr>
          <w:rFonts w:hint="eastAsia" w:ascii="黑体" w:hAnsi="黑体" w:eastAsia="黑体"/>
          <w:color w:val="FF0000"/>
          <w:sz w:val="32"/>
          <w:szCs w:val="32"/>
        </w:rPr>
        <w:t>日-</w:t>
      </w:r>
      <w:r>
        <w:rPr>
          <w:rFonts w:hint="eastAsia" w:ascii="黑体" w:hAnsi="黑体" w:eastAsia="黑体"/>
          <w:color w:val="FF0000"/>
          <w:sz w:val="32"/>
          <w:szCs w:val="32"/>
          <w:lang w:val="en-US" w:eastAsia="zh-CN"/>
        </w:rPr>
        <w:t>6</w:t>
      </w:r>
      <w:r>
        <w:rPr>
          <w:rFonts w:hint="eastAsia" w:ascii="黑体" w:hAnsi="黑体" w:eastAsia="黑体"/>
          <w:color w:val="FF0000"/>
          <w:sz w:val="32"/>
          <w:szCs w:val="32"/>
        </w:rPr>
        <w:t>月</w:t>
      </w:r>
      <w:r>
        <w:rPr>
          <w:rFonts w:hint="eastAsia" w:ascii="黑体" w:hAnsi="黑体" w:eastAsia="黑体"/>
          <w:color w:val="FF0000"/>
          <w:sz w:val="32"/>
          <w:szCs w:val="32"/>
          <w:lang w:val="en-US" w:eastAsia="zh-CN"/>
        </w:rPr>
        <w:t>1</w:t>
      </w:r>
      <w:r>
        <w:rPr>
          <w:rFonts w:hint="eastAsia" w:ascii="黑体" w:hAnsi="黑体" w:eastAsia="黑体"/>
          <w:color w:val="FF0000"/>
          <w:sz w:val="32"/>
          <w:szCs w:val="32"/>
        </w:rPr>
        <w:t>日；</w:t>
      </w:r>
    </w:p>
    <w:p>
      <w:pPr>
        <w:spacing w:line="560" w:lineRule="exact"/>
        <w:ind w:firstLine="640" w:firstLineChars="200"/>
        <w:jc w:val="left"/>
        <w:rPr>
          <w:rFonts w:ascii="黑体" w:hAnsi="黑体" w:eastAsia="黑体"/>
          <w:color w:val="FF0000"/>
          <w:sz w:val="32"/>
          <w:szCs w:val="32"/>
        </w:rPr>
      </w:pPr>
      <w:r>
        <w:rPr>
          <w:rFonts w:hint="eastAsia" w:ascii="黑体" w:hAnsi="黑体" w:eastAsia="黑体"/>
          <w:color w:val="FF0000"/>
          <w:sz w:val="32"/>
          <w:szCs w:val="32"/>
        </w:rPr>
        <w:t>线下终结性考核：6月</w:t>
      </w:r>
      <w:r>
        <w:rPr>
          <w:rFonts w:hint="eastAsia" w:ascii="黑体" w:hAnsi="黑体" w:eastAsia="黑体"/>
          <w:color w:val="FF0000"/>
          <w:sz w:val="32"/>
          <w:szCs w:val="32"/>
          <w:lang w:val="en-US" w:eastAsia="zh-CN"/>
        </w:rPr>
        <w:t>4</w:t>
      </w:r>
      <w:r>
        <w:rPr>
          <w:rFonts w:hint="eastAsia" w:ascii="黑体" w:hAnsi="黑体" w:eastAsia="黑体"/>
          <w:color w:val="FF0000"/>
          <w:sz w:val="32"/>
          <w:szCs w:val="32"/>
        </w:rPr>
        <w:t>日前由开课单位组织实施，请关注通知并按时参加线下终结性考核，否则不能取得学分。</w:t>
      </w:r>
    </w:p>
    <w:p>
      <w:pPr>
        <w:spacing w:line="560" w:lineRule="exact"/>
        <w:ind w:firstLine="640" w:firstLineChars="200"/>
        <w:jc w:val="left"/>
        <w:rPr>
          <w:rFonts w:ascii="仿宋_GB2312" w:eastAsia="仿宋_GB2312"/>
          <w:sz w:val="32"/>
          <w:szCs w:val="32"/>
        </w:rPr>
      </w:pP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一、在线自主学习方式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（1）在线自主学习和线上考核时间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学期网络重修课程采用在线自主学习方式，不统一安排具体学习地点和学习时间，只限定每门课程在线自主学习的开始时间和截止时间，学生可以根据自己的学习进度在规定的开放时间段内自行安排完成课程学习。具体开放时间段如下：</w:t>
      </w:r>
      <w:r>
        <w:rPr>
          <w:rFonts w:hint="eastAsia" w:ascii="仿宋" w:hAnsi="仿宋" w:eastAsia="仿宋" w:cs="仿宋"/>
          <w:color w:val="FF0000"/>
          <w:sz w:val="31"/>
          <w:szCs w:val="31"/>
        </w:rPr>
        <w:t>学习时间为202</w:t>
      </w:r>
      <w:r>
        <w:rPr>
          <w:rFonts w:hint="eastAsia" w:ascii="仿宋" w:hAnsi="仿宋" w:eastAsia="仿宋" w:cs="仿宋"/>
          <w:color w:val="FF0000"/>
          <w:sz w:val="31"/>
          <w:szCs w:val="31"/>
          <w:lang w:val="en-US" w:eastAsia="zh-CN"/>
        </w:rPr>
        <w:t>5</w:t>
      </w:r>
      <w:r>
        <w:rPr>
          <w:rFonts w:hint="eastAsia" w:ascii="仿宋" w:hAnsi="仿宋" w:eastAsia="仿宋" w:cs="仿宋"/>
          <w:color w:val="FF0000"/>
          <w:sz w:val="31"/>
          <w:szCs w:val="31"/>
        </w:rPr>
        <w:t>年5月</w:t>
      </w:r>
      <w:r>
        <w:rPr>
          <w:rFonts w:hint="eastAsia" w:ascii="仿宋" w:hAnsi="仿宋" w:eastAsia="仿宋" w:cs="仿宋"/>
          <w:color w:val="FF0000"/>
          <w:sz w:val="31"/>
          <w:szCs w:val="31"/>
          <w:lang w:val="en-US" w:eastAsia="zh-CN"/>
        </w:rPr>
        <w:t>13</w:t>
      </w:r>
      <w:r>
        <w:rPr>
          <w:rFonts w:hint="eastAsia" w:ascii="仿宋" w:hAnsi="仿宋" w:eastAsia="仿宋" w:cs="仿宋"/>
          <w:color w:val="FF0000"/>
          <w:sz w:val="31"/>
          <w:szCs w:val="31"/>
        </w:rPr>
        <w:t>日至202</w:t>
      </w:r>
      <w:r>
        <w:rPr>
          <w:rFonts w:hint="eastAsia" w:ascii="仿宋" w:hAnsi="仿宋" w:eastAsia="仿宋" w:cs="仿宋"/>
          <w:color w:val="FF0000"/>
          <w:sz w:val="31"/>
          <w:szCs w:val="31"/>
          <w:lang w:val="en-US" w:eastAsia="zh-CN"/>
        </w:rPr>
        <w:t>5</w:t>
      </w:r>
      <w:r>
        <w:rPr>
          <w:rFonts w:hint="eastAsia" w:ascii="仿宋" w:hAnsi="仿宋" w:eastAsia="仿宋" w:cs="仿宋"/>
          <w:color w:val="FF0000"/>
          <w:sz w:val="31"/>
          <w:szCs w:val="31"/>
        </w:rPr>
        <w:t>年</w:t>
      </w:r>
      <w:r>
        <w:rPr>
          <w:rFonts w:hint="eastAsia" w:ascii="仿宋" w:hAnsi="仿宋" w:eastAsia="仿宋" w:cs="仿宋"/>
          <w:color w:val="FF0000"/>
          <w:sz w:val="31"/>
          <w:szCs w:val="31"/>
          <w:lang w:val="en-US" w:eastAsia="zh-CN"/>
        </w:rPr>
        <w:t>6</w:t>
      </w:r>
      <w:r>
        <w:rPr>
          <w:rFonts w:hint="eastAsia" w:ascii="仿宋" w:hAnsi="仿宋" w:eastAsia="仿宋" w:cs="仿宋"/>
          <w:color w:val="FF0000"/>
          <w:sz w:val="31"/>
          <w:szCs w:val="31"/>
        </w:rPr>
        <w:t>月</w:t>
      </w:r>
      <w:r>
        <w:rPr>
          <w:rFonts w:hint="eastAsia" w:ascii="仿宋" w:hAnsi="仿宋" w:eastAsia="仿宋" w:cs="仿宋"/>
          <w:color w:val="FF0000"/>
          <w:sz w:val="31"/>
          <w:szCs w:val="31"/>
          <w:lang w:val="en-US" w:eastAsia="zh-CN"/>
        </w:rPr>
        <w:t>1</w:t>
      </w:r>
      <w:r>
        <w:rPr>
          <w:rFonts w:hint="eastAsia" w:ascii="仿宋" w:hAnsi="仿宋" w:eastAsia="仿宋" w:cs="仿宋"/>
          <w:color w:val="FF0000"/>
          <w:sz w:val="31"/>
          <w:szCs w:val="31"/>
        </w:rPr>
        <w:t>日，</w:t>
      </w:r>
      <w:r>
        <w:rPr>
          <w:rFonts w:hint="eastAsia" w:ascii="仿宋_GB2312" w:hAnsi="仿宋_GB2312" w:eastAsia="仿宋_GB2312" w:cs="仿宋_GB2312"/>
          <w:color w:val="FF0000"/>
          <w:sz w:val="32"/>
          <w:szCs w:val="32"/>
        </w:rPr>
        <w:t>课程修读采用随学随考方式，课程任务点完成度达到90%即可选择考试。</w:t>
      </w:r>
      <w:r>
        <w:rPr>
          <w:rFonts w:hint="eastAsia" w:ascii="仿宋" w:hAnsi="仿宋" w:eastAsia="仿宋" w:cs="仿宋"/>
          <w:sz w:val="31"/>
          <w:szCs w:val="31"/>
        </w:rPr>
        <w:t>请在</w:t>
      </w:r>
      <w:r>
        <w:rPr>
          <w:rFonts w:hint="eastAsia" w:ascii="仿宋_GB2312" w:eastAsia="仿宋_GB2312"/>
          <w:sz w:val="32"/>
          <w:szCs w:val="32"/>
        </w:rPr>
        <w:t>此时间段内完成网络重修课程在线学习和线上考核。</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（2）在线学习过程</w:t>
      </w:r>
    </w:p>
    <w:p>
      <w:pPr>
        <w:spacing w:line="560" w:lineRule="exact"/>
        <w:ind w:firstLine="640" w:firstLineChars="200"/>
        <w:rPr>
          <w:rFonts w:ascii="仿宋_GB2312" w:eastAsia="仿宋_GB2312"/>
          <w:color w:val="FF0000"/>
          <w:sz w:val="32"/>
          <w:szCs w:val="32"/>
        </w:rPr>
      </w:pPr>
      <w:r>
        <w:rPr>
          <w:rFonts w:hint="eastAsia" w:ascii="仿宋_GB2312" w:eastAsia="仿宋_GB2312"/>
          <w:sz w:val="32"/>
          <w:szCs w:val="32"/>
        </w:rPr>
        <w:t>下载学习通APP，使用手机号注册账号、设置个人登录密码，绑定单位“安徽建筑大学”和学号作为学习账号。（之前登陆过该平台的学生，直接进入平台学习，密码为其更改后的密码），进入“泛雅网络教学综合服务平台”观看视频，自学课程内容。完成课程内容后需在线完成课后作业，学完所有视频内容并完成规定作业后，即可进入网上线上考核环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学习路径：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PC端：进入如下网址（</w:t>
      </w:r>
      <w:r>
        <w:fldChar w:fldCharType="begin"/>
      </w:r>
      <w:r>
        <w:instrText xml:space="preserve"> HYPERLINK "http://ahjzu.fy.chaoxing.com" </w:instrText>
      </w:r>
      <w:r>
        <w:fldChar w:fldCharType="separate"/>
      </w:r>
      <w:r>
        <w:rPr>
          <w:rStyle w:val="6"/>
          <w:rFonts w:ascii="微软雅黑" w:hAnsi="微软雅黑" w:eastAsia="微软雅黑" w:cs="微软雅黑"/>
          <w:b/>
          <w:bCs/>
          <w:color w:val="FF0000"/>
          <w:sz w:val="28"/>
          <w:szCs w:val="28"/>
        </w:rPr>
        <w:t>http://ahjzu.fy.chaoxing.com</w:t>
      </w:r>
      <w:r>
        <w:rPr>
          <w:rStyle w:val="6"/>
          <w:rFonts w:ascii="微软雅黑" w:hAnsi="微软雅黑" w:eastAsia="微软雅黑" w:cs="微软雅黑"/>
          <w:b/>
          <w:bCs/>
          <w:color w:val="FF0000"/>
          <w:sz w:val="28"/>
          <w:szCs w:val="28"/>
        </w:rPr>
        <w:fldChar w:fldCharType="end"/>
      </w:r>
      <w:r>
        <w:rPr>
          <w:rFonts w:hint="eastAsia" w:ascii="仿宋_GB2312" w:eastAsia="仿宋_GB2312"/>
          <w:sz w:val="32"/>
          <w:szCs w:val="32"/>
        </w:rPr>
        <w:t>），进行网络重修课程的学习。学生自主安排时间学习。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手机端：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1.app使用下载方式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a、在手机app商店里直接搜索“超星学习通”下载安装或者空间左下角下载安装。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b、下载地址： </w:t>
      </w:r>
      <w:r>
        <w:fldChar w:fldCharType="begin"/>
      </w:r>
      <w:r>
        <w:instrText xml:space="preserve"> HYPERLINK "http://apps.chaoxing.com/d/app/4.html" </w:instrText>
      </w:r>
      <w:r>
        <w:fldChar w:fldCharType="separate"/>
      </w:r>
      <w:r>
        <w:rPr>
          <w:rFonts w:hint="eastAsia" w:ascii="仿宋_GB2312" w:eastAsia="仿宋_GB2312"/>
          <w:sz w:val="32"/>
          <w:szCs w:val="32"/>
        </w:rPr>
        <w:t>http://apps.ch</w:t>
      </w:r>
      <w:bookmarkStart w:id="0" w:name="_Hlt492470241"/>
      <w:bookmarkStart w:id="1" w:name="_Hlt492470242"/>
      <w:r>
        <w:rPr>
          <w:rFonts w:hint="eastAsia" w:ascii="仿宋_GB2312" w:eastAsia="仿宋_GB2312"/>
          <w:sz w:val="32"/>
          <w:szCs w:val="32"/>
        </w:rPr>
        <w:t>a</w:t>
      </w:r>
      <w:bookmarkEnd w:id="0"/>
      <w:bookmarkEnd w:id="1"/>
      <w:r>
        <w:rPr>
          <w:rFonts w:hint="eastAsia" w:ascii="仿宋_GB2312" w:eastAsia="仿宋_GB2312"/>
          <w:sz w:val="32"/>
          <w:szCs w:val="32"/>
        </w:rPr>
        <w:t>oxing.com/d</w:t>
      </w:r>
      <w:r>
        <w:rPr>
          <w:rFonts w:hint="eastAsia" w:ascii="仿宋_GB2312" w:eastAsia="仿宋_GB2312"/>
          <w:sz w:val="32"/>
          <w:szCs w:val="32"/>
        </w:rPr>
        <w:fldChar w:fldCharType="end"/>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c、扫描二维码安装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drawing>
          <wp:anchor distT="0" distB="0" distL="114300" distR="114300" simplePos="0" relativeHeight="251659264" behindDoc="1" locked="0" layoutInCell="1" allowOverlap="1">
            <wp:simplePos x="0" y="0"/>
            <wp:positionH relativeFrom="column">
              <wp:posOffset>1784350</wp:posOffset>
            </wp:positionH>
            <wp:positionV relativeFrom="paragraph">
              <wp:posOffset>111125</wp:posOffset>
            </wp:positionV>
            <wp:extent cx="2121535" cy="2320290"/>
            <wp:effectExtent l="0" t="0" r="2540" b="3810"/>
            <wp:wrapTight wrapText="bothSides">
              <wp:wrapPolygon>
                <wp:start x="0" y="0"/>
                <wp:lineTo x="0" y="21547"/>
                <wp:lineTo x="21529" y="21547"/>
                <wp:lineTo x="21529" y="0"/>
                <wp:lineTo x="0" y="0"/>
              </wp:wrapPolygon>
            </wp:wrapTight>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4"/>
                    <a:stretch>
                      <a:fillRect/>
                    </a:stretch>
                  </pic:blipFill>
                  <pic:spPr>
                    <a:xfrm>
                      <a:off x="0" y="0"/>
                      <a:ext cx="2121535" cy="2320290"/>
                    </a:xfrm>
                    <a:prstGeom prst="rect">
                      <a:avLst/>
                    </a:prstGeom>
                    <a:noFill/>
                    <a:ln>
                      <a:noFill/>
                    </a:ln>
                  </pic:spPr>
                </pic:pic>
              </a:graphicData>
            </a:graphic>
          </wp:anchor>
        </w:drawing>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2.登陆方式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请点击学习通右下角“我”再点击左上“请先登录”，点击下方“新用户注册”，使用本人手机号注册，在单位验证输入“1232”点选“安徽建筑大学”，输入自己的“学号”进行账号绑定，按操作进行登录学习。如遇无法登录情况请联系在线客服咨询。（之前登陆过学习通且绑定过学号的学生，直接进入平台学习，密码为其更改后的密码）</w:t>
      </w:r>
    </w:p>
    <w:p>
      <w:pPr>
        <w:jc w:val="center"/>
        <w:rPr>
          <w:rFonts w:ascii="黑体" w:hAnsi="黑体" w:eastAsia="黑体" w:cs="黑体"/>
          <w:sz w:val="24"/>
        </w:rPr>
      </w:pPr>
      <w:r>
        <w:drawing>
          <wp:inline distT="0" distB="0" distL="114300" distR="114300">
            <wp:extent cx="1708785" cy="3510915"/>
            <wp:effectExtent l="9525" t="9525" r="15240" b="1333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1708785" cy="3510915"/>
                    </a:xfrm>
                    <a:prstGeom prst="rect">
                      <a:avLst/>
                    </a:prstGeom>
                    <a:noFill/>
                    <a:ln>
                      <a:solidFill>
                        <a:schemeClr val="tx1"/>
                      </a:solidFill>
                    </a:ln>
                  </pic:spPr>
                </pic:pic>
              </a:graphicData>
            </a:graphic>
          </wp:inline>
        </w:drawing>
      </w:r>
      <w:r>
        <w:drawing>
          <wp:inline distT="0" distB="0" distL="114300" distR="114300">
            <wp:extent cx="1706880" cy="3521710"/>
            <wp:effectExtent l="9525" t="9525" r="17145" b="1206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1706880" cy="3521710"/>
                    </a:xfrm>
                    <a:prstGeom prst="rect">
                      <a:avLst/>
                    </a:prstGeom>
                    <a:noFill/>
                    <a:ln>
                      <a:solidFill>
                        <a:schemeClr val="tx1"/>
                      </a:solidFill>
                    </a:ln>
                  </pic:spPr>
                </pic:pic>
              </a:graphicData>
            </a:graphic>
          </wp:inline>
        </w:drawing>
      </w:r>
      <w:r>
        <w:drawing>
          <wp:inline distT="0" distB="0" distL="114300" distR="114300">
            <wp:extent cx="1745615" cy="3529965"/>
            <wp:effectExtent l="9525" t="9525" r="16510" b="1333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7"/>
                    <a:stretch>
                      <a:fillRect/>
                    </a:stretch>
                  </pic:blipFill>
                  <pic:spPr>
                    <a:xfrm>
                      <a:off x="0" y="0"/>
                      <a:ext cx="1745615" cy="3529965"/>
                    </a:xfrm>
                    <a:prstGeom prst="rect">
                      <a:avLst/>
                    </a:prstGeom>
                    <a:noFill/>
                    <a:ln>
                      <a:solidFill>
                        <a:schemeClr val="tx1"/>
                      </a:solidFill>
                    </a:ln>
                  </pic:spPr>
                </pic:pic>
              </a:graphicData>
            </a:graphic>
          </wp:inline>
        </w:drawing>
      </w:r>
      <w:r>
        <w:drawing>
          <wp:inline distT="0" distB="0" distL="114300" distR="114300">
            <wp:extent cx="1751965" cy="3634740"/>
            <wp:effectExtent l="9525" t="9525" r="10160" b="1333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8"/>
                    <a:stretch>
                      <a:fillRect/>
                    </a:stretch>
                  </pic:blipFill>
                  <pic:spPr>
                    <a:xfrm>
                      <a:off x="0" y="0"/>
                      <a:ext cx="1751965" cy="3634740"/>
                    </a:xfrm>
                    <a:prstGeom prst="rect">
                      <a:avLst/>
                    </a:prstGeom>
                    <a:noFill/>
                    <a:ln>
                      <a:solidFill>
                        <a:schemeClr val="tx1"/>
                      </a:solidFill>
                    </a:ln>
                  </pic:spPr>
                </pic:pic>
              </a:graphicData>
            </a:graphic>
          </wp:inline>
        </w:drawing>
      </w:r>
      <w:r>
        <w:drawing>
          <wp:inline distT="0" distB="0" distL="114300" distR="114300">
            <wp:extent cx="1733550" cy="3622040"/>
            <wp:effectExtent l="9525" t="9525" r="9525" b="1651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9"/>
                    <a:stretch>
                      <a:fillRect/>
                    </a:stretch>
                  </pic:blipFill>
                  <pic:spPr>
                    <a:xfrm>
                      <a:off x="0" y="0"/>
                      <a:ext cx="1733550" cy="3622040"/>
                    </a:xfrm>
                    <a:prstGeom prst="rect">
                      <a:avLst/>
                    </a:prstGeom>
                    <a:noFill/>
                    <a:ln>
                      <a:solidFill>
                        <a:schemeClr val="tx1"/>
                      </a:solidFill>
                    </a:ln>
                  </pic:spPr>
                </pic:pic>
              </a:graphicData>
            </a:graphic>
          </wp:inline>
        </w:drawing>
      </w:r>
      <w:r>
        <w:drawing>
          <wp:inline distT="0" distB="0" distL="114300" distR="114300">
            <wp:extent cx="1674495" cy="3629025"/>
            <wp:effectExtent l="9525" t="9525" r="11430" b="952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0"/>
                    <a:stretch>
                      <a:fillRect/>
                    </a:stretch>
                  </pic:blipFill>
                  <pic:spPr>
                    <a:xfrm>
                      <a:off x="0" y="0"/>
                      <a:ext cx="1674495" cy="3629025"/>
                    </a:xfrm>
                    <a:prstGeom prst="rect">
                      <a:avLst/>
                    </a:prstGeom>
                    <a:noFill/>
                    <a:ln>
                      <a:solidFill>
                        <a:schemeClr val="tx1"/>
                      </a:solidFill>
                    </a:ln>
                  </pic:spPr>
                </pic:pic>
              </a:graphicData>
            </a:graphic>
          </wp:inline>
        </w:drawing>
      </w:r>
      <w:r>
        <w:drawing>
          <wp:inline distT="0" distB="0" distL="114300" distR="114300">
            <wp:extent cx="2471420" cy="4619625"/>
            <wp:effectExtent l="9525" t="9525" r="14605" b="952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1"/>
                    <a:stretch>
                      <a:fillRect/>
                    </a:stretch>
                  </pic:blipFill>
                  <pic:spPr>
                    <a:xfrm>
                      <a:off x="0" y="0"/>
                      <a:ext cx="2471420" cy="4619625"/>
                    </a:xfrm>
                    <a:prstGeom prst="rect">
                      <a:avLst/>
                    </a:prstGeom>
                    <a:noFill/>
                    <a:ln>
                      <a:solidFill>
                        <a:schemeClr val="tx1"/>
                      </a:solidFill>
                    </a:ln>
                  </pic:spPr>
                </pic:pic>
              </a:graphicData>
            </a:graphic>
          </wp:inline>
        </w:drawing>
      </w:r>
      <w:r>
        <w:drawing>
          <wp:inline distT="0" distB="0" distL="114300" distR="114300">
            <wp:extent cx="2390140" cy="4605020"/>
            <wp:effectExtent l="9525" t="9525" r="10160" b="1460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2"/>
                    <a:stretch>
                      <a:fillRect/>
                    </a:stretch>
                  </pic:blipFill>
                  <pic:spPr>
                    <a:xfrm>
                      <a:off x="0" y="0"/>
                      <a:ext cx="2390140" cy="4605020"/>
                    </a:xfrm>
                    <a:prstGeom prst="rect">
                      <a:avLst/>
                    </a:prstGeom>
                    <a:noFill/>
                    <a:ln>
                      <a:solidFill>
                        <a:schemeClr val="tx1"/>
                      </a:solidFill>
                    </a:ln>
                  </pic:spPr>
                </pic:pic>
              </a:graphicData>
            </a:graphic>
          </wp:inline>
        </w:drawing>
      </w:r>
    </w:p>
    <w:p>
      <w:pPr>
        <w:spacing w:line="560" w:lineRule="exact"/>
        <w:ind w:firstLine="640" w:firstLineChars="200"/>
        <w:rPr>
          <w:rFonts w:ascii="仿宋_GB2312" w:eastAsia="仿宋_GB2312"/>
          <w:sz w:val="32"/>
          <w:szCs w:val="32"/>
        </w:rPr>
      </w:pPr>
    </w:p>
    <w:p>
      <w:pPr>
        <w:spacing w:line="560" w:lineRule="exact"/>
        <w:ind w:firstLine="643" w:firstLineChars="200"/>
        <w:rPr>
          <w:rFonts w:ascii="仿宋_GB2312" w:eastAsia="仿宋_GB2312"/>
          <w:b/>
          <w:bCs/>
          <w:sz w:val="32"/>
          <w:szCs w:val="32"/>
        </w:rPr>
      </w:pP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二、网络重修课程线上考核</w:t>
      </w:r>
    </w:p>
    <w:p>
      <w:pPr>
        <w:spacing w:line="560" w:lineRule="exact"/>
        <w:ind w:firstLine="640" w:firstLineChars="200"/>
        <w:rPr>
          <w:rFonts w:hint="eastAsia" w:ascii="黑体" w:hAnsi="黑体" w:eastAsia="黑体"/>
          <w:color w:val="FF0000"/>
          <w:sz w:val="32"/>
          <w:szCs w:val="32"/>
        </w:rPr>
      </w:pPr>
      <w:r>
        <w:rPr>
          <w:rFonts w:hint="eastAsia" w:ascii="黑体" w:hAnsi="黑体" w:eastAsia="黑体"/>
          <w:color w:val="FF0000"/>
          <w:sz w:val="32"/>
          <w:szCs w:val="32"/>
        </w:rPr>
        <w:t>注：本次重修班对应的网络重修课程，学生均需参加线上学习结束考试（仅作为成绩一部分即平时成绩，且仍需参加学校组织的课程线下终结性考核）</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（1）线上考核方式</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网络重修课程线上考核成绩由在线学习（60</w:t>
      </w:r>
      <w:r>
        <w:rPr>
          <w:rFonts w:ascii="仿宋_GB2312" w:eastAsia="仿宋_GB2312" w:cs="仿宋_GB2312"/>
          <w:sz w:val="32"/>
          <w:szCs w:val="32"/>
        </w:rPr>
        <w:t>%</w:t>
      </w:r>
      <w:r>
        <w:rPr>
          <w:rFonts w:hint="eastAsia" w:ascii="仿宋_GB2312" w:eastAsia="仿宋_GB2312" w:cs="仿宋_GB2312"/>
          <w:sz w:val="32"/>
          <w:szCs w:val="32"/>
        </w:rPr>
        <w:t>）、线上考试（4</w:t>
      </w:r>
      <w:r>
        <w:rPr>
          <w:rFonts w:ascii="仿宋_GB2312" w:eastAsia="仿宋_GB2312" w:cs="仿宋_GB2312"/>
          <w:sz w:val="32"/>
          <w:szCs w:val="32"/>
        </w:rPr>
        <w:t>0%</w:t>
      </w:r>
      <w:r>
        <w:rPr>
          <w:rFonts w:hint="eastAsia" w:ascii="仿宋_GB2312" w:eastAsia="仿宋_GB2312" w:cs="仿宋_GB2312"/>
          <w:sz w:val="32"/>
          <w:szCs w:val="32"/>
        </w:rPr>
        <w:t>）两部分成绩组成。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学生必须在规定的时间段内完成该门课程的全部视频观看、作业后，才能进行线上考试，否则系统设定不允许进行线上考试。</w:t>
      </w:r>
    </w:p>
    <w:p>
      <w:pPr>
        <w:numPr>
          <w:ilvl w:val="0"/>
          <w:numId w:val="1"/>
        </w:num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网络重修</w:t>
      </w:r>
      <w:r>
        <w:rPr>
          <w:rFonts w:hint="eastAsia" w:ascii="仿宋_GB2312" w:eastAsia="仿宋_GB2312"/>
          <w:sz w:val="32"/>
          <w:szCs w:val="32"/>
        </w:rPr>
        <w:t>课程线上考核成绩认定</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课程</w:t>
      </w:r>
      <w:r>
        <w:rPr>
          <w:rFonts w:hint="eastAsia" w:ascii="仿宋_GB2312" w:eastAsia="仿宋_GB2312"/>
          <w:sz w:val="32"/>
          <w:szCs w:val="32"/>
        </w:rPr>
        <w:t>线上</w:t>
      </w:r>
      <w:r>
        <w:rPr>
          <w:rFonts w:hint="eastAsia" w:ascii="仿宋_GB2312" w:eastAsia="仿宋_GB2312" w:cs="仿宋_GB2312"/>
          <w:sz w:val="32"/>
          <w:szCs w:val="32"/>
        </w:rPr>
        <w:t>考核成绩</w:t>
      </w:r>
      <w:r>
        <w:rPr>
          <w:rFonts w:ascii="仿宋_GB2312" w:eastAsia="仿宋_GB2312" w:cs="仿宋_GB2312"/>
          <w:sz w:val="32"/>
          <w:szCs w:val="32"/>
        </w:rPr>
        <w:t>=</w:t>
      </w:r>
      <w:r>
        <w:rPr>
          <w:rFonts w:hint="eastAsia" w:ascii="仿宋_GB2312" w:eastAsia="仿宋_GB2312" w:cs="仿宋_GB2312"/>
          <w:sz w:val="32"/>
          <w:szCs w:val="32"/>
        </w:rPr>
        <w:t>在线学习得分</w:t>
      </w:r>
      <w:r>
        <w:rPr>
          <w:rFonts w:ascii="仿宋_GB2312" w:eastAsia="仿宋_GB2312" w:cs="仿宋_GB2312"/>
          <w:sz w:val="32"/>
          <w:szCs w:val="32"/>
        </w:rPr>
        <w:t>*</w:t>
      </w:r>
      <w:r>
        <w:rPr>
          <w:rFonts w:hint="eastAsia" w:ascii="仿宋_GB2312" w:eastAsia="仿宋_GB2312" w:cs="仿宋_GB2312"/>
          <w:sz w:val="32"/>
          <w:szCs w:val="32"/>
        </w:rPr>
        <w:t>6</w:t>
      </w:r>
      <w:r>
        <w:rPr>
          <w:rFonts w:ascii="仿宋_GB2312" w:eastAsia="仿宋_GB2312" w:cs="仿宋_GB2312"/>
          <w:sz w:val="32"/>
          <w:szCs w:val="32"/>
        </w:rPr>
        <w:t>0%+</w:t>
      </w:r>
      <w:r>
        <w:rPr>
          <w:rFonts w:hint="eastAsia" w:ascii="仿宋_GB2312" w:eastAsia="仿宋_GB2312" w:cs="仿宋_GB2312"/>
          <w:sz w:val="32"/>
          <w:szCs w:val="32"/>
        </w:rPr>
        <w:t>线上考试得分</w:t>
      </w:r>
      <w:r>
        <w:rPr>
          <w:rFonts w:ascii="仿宋_GB2312" w:eastAsia="仿宋_GB2312" w:cs="仿宋_GB2312"/>
          <w:sz w:val="32"/>
          <w:szCs w:val="32"/>
        </w:rPr>
        <w:t>*</w:t>
      </w:r>
      <w:r>
        <w:rPr>
          <w:rFonts w:hint="eastAsia" w:ascii="仿宋_GB2312" w:eastAsia="仿宋_GB2312" w:cs="仿宋_GB2312"/>
          <w:sz w:val="32"/>
          <w:szCs w:val="32"/>
        </w:rPr>
        <w:t>4</w:t>
      </w:r>
      <w:r>
        <w:rPr>
          <w:rFonts w:ascii="仿宋_GB2312" w:eastAsia="仿宋_GB2312" w:cs="仿宋_GB2312"/>
          <w:sz w:val="32"/>
          <w:szCs w:val="32"/>
        </w:rPr>
        <w:t>0%</w:t>
      </w:r>
      <w:r>
        <w:rPr>
          <w:rFonts w:hint="eastAsia" w:ascii="仿宋_GB2312" w:eastAsia="仿宋_GB2312" w:cs="仿宋_GB2312"/>
          <w:sz w:val="32"/>
          <w:szCs w:val="32"/>
        </w:rPr>
        <w:t>。</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color w:val="FF0000"/>
          <w:sz w:val="32"/>
          <w:szCs w:val="32"/>
        </w:rPr>
        <w:t>课程</w:t>
      </w:r>
      <w:r>
        <w:rPr>
          <w:rFonts w:hint="eastAsia" w:ascii="仿宋_GB2312" w:eastAsia="仿宋_GB2312"/>
          <w:color w:val="FF0000"/>
          <w:sz w:val="32"/>
          <w:szCs w:val="32"/>
        </w:rPr>
        <w:t>线上</w:t>
      </w:r>
      <w:r>
        <w:rPr>
          <w:rFonts w:hint="eastAsia" w:ascii="仿宋_GB2312" w:eastAsia="仿宋_GB2312" w:cs="仿宋_GB2312"/>
          <w:color w:val="FF0000"/>
          <w:sz w:val="32"/>
          <w:szCs w:val="32"/>
        </w:rPr>
        <w:t>考核成绩</w:t>
      </w:r>
      <w:r>
        <w:rPr>
          <w:rFonts w:hint="eastAsia" w:ascii="仿宋_GB2312" w:eastAsia="仿宋_GB2312"/>
          <w:color w:val="FF0000"/>
          <w:sz w:val="32"/>
          <w:szCs w:val="32"/>
        </w:rPr>
        <w:t>作为网络重修课程的平时成绩，还需要完成学院组织的重修课程考试，学院考试成绩作为网络重修课程期末成绩。网络重修课程成绩组成比例与课程大纲一致。</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CCA096"/>
    <w:multiLevelType w:val="singleLevel"/>
    <w:tmpl w:val="59CCA09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2NjMyMGVkYjc5MmUyZjE0MTQyMzgwNjI4YTQ3YzYifQ=="/>
  </w:docVars>
  <w:rsids>
    <w:rsidRoot w:val="00A25E2F"/>
    <w:rsid w:val="0000519C"/>
    <w:rsid w:val="00092A3F"/>
    <w:rsid w:val="00183C6E"/>
    <w:rsid w:val="002B46F0"/>
    <w:rsid w:val="00307763"/>
    <w:rsid w:val="003A5D3C"/>
    <w:rsid w:val="003B0F32"/>
    <w:rsid w:val="003B519F"/>
    <w:rsid w:val="004D7A76"/>
    <w:rsid w:val="00510204"/>
    <w:rsid w:val="00515D71"/>
    <w:rsid w:val="00551C11"/>
    <w:rsid w:val="005569C0"/>
    <w:rsid w:val="00592F51"/>
    <w:rsid w:val="0059765F"/>
    <w:rsid w:val="00601FD5"/>
    <w:rsid w:val="00631D3B"/>
    <w:rsid w:val="006729B1"/>
    <w:rsid w:val="006A50C5"/>
    <w:rsid w:val="007D5298"/>
    <w:rsid w:val="007E226E"/>
    <w:rsid w:val="00865667"/>
    <w:rsid w:val="008C650F"/>
    <w:rsid w:val="00A25E2F"/>
    <w:rsid w:val="00A724C9"/>
    <w:rsid w:val="00AD7ED7"/>
    <w:rsid w:val="00B92925"/>
    <w:rsid w:val="00BD7AE0"/>
    <w:rsid w:val="00C27D34"/>
    <w:rsid w:val="00D103DE"/>
    <w:rsid w:val="00E71121"/>
    <w:rsid w:val="00E829FF"/>
    <w:rsid w:val="00E93DDF"/>
    <w:rsid w:val="00EA082A"/>
    <w:rsid w:val="00EB16AD"/>
    <w:rsid w:val="00F85800"/>
    <w:rsid w:val="010C1BCD"/>
    <w:rsid w:val="08BD3633"/>
    <w:rsid w:val="1B245795"/>
    <w:rsid w:val="232C68ED"/>
    <w:rsid w:val="250042F2"/>
    <w:rsid w:val="263B36CE"/>
    <w:rsid w:val="27273A88"/>
    <w:rsid w:val="28AE5E4D"/>
    <w:rsid w:val="2B3656DA"/>
    <w:rsid w:val="35203468"/>
    <w:rsid w:val="3E960AA6"/>
    <w:rsid w:val="46896345"/>
    <w:rsid w:val="561A5A4B"/>
    <w:rsid w:val="5B6C7513"/>
    <w:rsid w:val="5CEC3689"/>
    <w:rsid w:val="65055B18"/>
    <w:rsid w:val="65C041E9"/>
    <w:rsid w:val="7299734D"/>
    <w:rsid w:val="765B02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autoRedefine/>
    <w:qFormat/>
    <w:uiPriority w:val="0"/>
    <w:rPr>
      <w:color w:val="0000FF"/>
      <w:u w:val="single"/>
    </w:rPr>
  </w:style>
  <w:style w:type="character" w:customStyle="1" w:styleId="7">
    <w:name w:val="页眉 字符"/>
    <w:basedOn w:val="5"/>
    <w:link w:val="3"/>
    <w:autoRedefine/>
    <w:qFormat/>
    <w:uiPriority w:val="0"/>
    <w:rPr>
      <w:rFonts w:ascii="Calibri" w:hAnsi="Calibri" w:eastAsia="宋体" w:cs="Times New Roman"/>
      <w:kern w:val="2"/>
      <w:sz w:val="18"/>
      <w:szCs w:val="18"/>
    </w:rPr>
  </w:style>
  <w:style w:type="character" w:customStyle="1" w:styleId="8">
    <w:name w:val="页脚 字符"/>
    <w:basedOn w:val="5"/>
    <w:link w:val="2"/>
    <w:autoRedefine/>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AHJZU</Company>
  <Pages>1</Pages>
  <Words>188</Words>
  <Characters>1072</Characters>
  <Lines>8</Lines>
  <Paragraphs>2</Paragraphs>
  <TotalTime>1</TotalTime>
  <ScaleCrop>false</ScaleCrop>
  <LinksUpToDate>false</LinksUpToDate>
  <CharactersWithSpaces>1258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217z</dc:creator>
  <cp:lastModifiedBy>Wang</cp:lastModifiedBy>
  <dcterms:modified xsi:type="dcterms:W3CDTF">2025-04-29T06:34:08Z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FD5BF42709B14E84A11ACB07ED4A2A6F_13</vt:lpwstr>
  </property>
</Properties>
</file>